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65EABEF" w14:textId="6E088256" w:rsidR="00F22BD1" w:rsidRPr="002A45AF" w:rsidRDefault="002A45AF">
      <w:pPr>
        <w:rPr>
          <w:rFonts w:ascii="Arial" w:hAnsi="Arial" w:cs="Arial"/>
          <w:sz w:val="24"/>
          <w:szCs w:val="24"/>
          <w:lang w:val="de-CH"/>
        </w:rPr>
      </w:pPr>
      <w:r w:rsidRPr="002A45AF">
        <w:rPr>
          <w:rFonts w:ascii="Arial" w:hAnsi="Arial" w:cs="Arial"/>
          <w:sz w:val="24"/>
          <w:szCs w:val="24"/>
          <w:lang w:val="de-CH"/>
        </w:rPr>
        <w:t>Wir suchen für das HQ unseres internationalen Kunden – ein Hersteller im Bereich Maschinenbau – in der Region Herrenberg einen</w:t>
      </w:r>
    </w:p>
    <w:p w14:paraId="4BC7E70A" w14:textId="77777777" w:rsidR="002A45AF" w:rsidRPr="002A45AF" w:rsidRDefault="002A45AF">
      <w:pPr>
        <w:rPr>
          <w:rFonts w:ascii="Arial" w:hAnsi="Arial" w:cs="Arial"/>
          <w:sz w:val="24"/>
          <w:szCs w:val="24"/>
          <w:lang w:val="de-CH"/>
        </w:rPr>
      </w:pPr>
    </w:p>
    <w:p w14:paraId="4D349A2F" w14:textId="38A23296" w:rsidR="002A45AF" w:rsidRPr="002A45AF" w:rsidRDefault="002A45AF">
      <w:pPr>
        <w:rPr>
          <w:rFonts w:ascii="Arial" w:hAnsi="Arial" w:cs="Arial"/>
          <w:b/>
          <w:bCs/>
          <w:sz w:val="24"/>
          <w:szCs w:val="24"/>
          <w:lang w:val="en-GB"/>
        </w:rPr>
      </w:pPr>
      <w:r w:rsidRPr="002A45AF">
        <w:rPr>
          <w:rFonts w:ascii="Arial" w:hAnsi="Arial" w:cs="Arial"/>
          <w:b/>
          <w:bCs/>
          <w:sz w:val="24"/>
          <w:szCs w:val="24"/>
          <w:lang w:val="en-GB"/>
        </w:rPr>
        <w:t xml:space="preserve">Treasury </w:t>
      </w:r>
      <w:r w:rsidR="007C7F20">
        <w:rPr>
          <w:rFonts w:ascii="Arial" w:hAnsi="Arial" w:cs="Arial"/>
          <w:b/>
          <w:bCs/>
          <w:sz w:val="24"/>
          <w:szCs w:val="24"/>
          <w:lang w:val="en-GB"/>
        </w:rPr>
        <w:t xml:space="preserve">Manager </w:t>
      </w:r>
      <w:r w:rsidRPr="002A45AF">
        <w:rPr>
          <w:rFonts w:ascii="Arial" w:hAnsi="Arial" w:cs="Arial"/>
          <w:b/>
          <w:bCs/>
          <w:sz w:val="24"/>
          <w:szCs w:val="24"/>
          <w:lang w:val="en-GB"/>
        </w:rPr>
        <w:t>(m/w/d)</w:t>
      </w:r>
    </w:p>
    <w:p w14:paraId="1B1AC6C2" w14:textId="77777777" w:rsidR="002A45AF" w:rsidRPr="007C7F20" w:rsidRDefault="002A45AF" w:rsidP="002A45AF">
      <w:pPr>
        <w:shd w:val="clear" w:color="auto" w:fill="FFFFFF"/>
        <w:spacing w:after="150" w:line="240" w:lineRule="auto"/>
        <w:jc w:val="both"/>
        <w:rPr>
          <w:rFonts w:ascii="Arial" w:eastAsia="Times New Roman" w:hAnsi="Arial" w:cs="Arial"/>
          <w:color w:val="5A5A5A"/>
          <w:sz w:val="24"/>
          <w:szCs w:val="24"/>
          <w:lang w:val="en-GB" w:eastAsia="de-DE"/>
        </w:rPr>
      </w:pPr>
    </w:p>
    <w:p w14:paraId="74782066" w14:textId="7E78A6EF" w:rsidR="002A45AF" w:rsidRPr="002A45AF" w:rsidRDefault="002A45AF" w:rsidP="002A45AF">
      <w:pPr>
        <w:shd w:val="clear" w:color="auto" w:fill="FFFFFF"/>
        <w:spacing w:after="150" w:line="240" w:lineRule="auto"/>
        <w:jc w:val="both"/>
        <w:rPr>
          <w:rFonts w:ascii="Arial" w:eastAsia="Times New Roman" w:hAnsi="Arial" w:cs="Arial"/>
          <w:color w:val="5A5A5A"/>
          <w:sz w:val="24"/>
          <w:szCs w:val="24"/>
          <w:lang w:eastAsia="de-DE"/>
        </w:rPr>
      </w:pPr>
      <w:r w:rsidRPr="002A45AF">
        <w:rPr>
          <w:rFonts w:ascii="Arial" w:eastAsia="Times New Roman" w:hAnsi="Arial" w:cs="Arial"/>
          <w:color w:val="5A5A5A"/>
          <w:sz w:val="24"/>
          <w:szCs w:val="24"/>
          <w:lang w:eastAsia="de-DE"/>
        </w:rPr>
        <w:t xml:space="preserve">Aufgaben: </w:t>
      </w:r>
    </w:p>
    <w:p w14:paraId="75F26BE0" w14:textId="77777777" w:rsidR="002A45AF" w:rsidRPr="002A45AF" w:rsidRDefault="002A45AF" w:rsidP="002A45AF">
      <w:pPr>
        <w:shd w:val="clear" w:color="auto" w:fill="FFFFFF"/>
        <w:spacing w:after="150" w:line="240" w:lineRule="auto"/>
        <w:jc w:val="both"/>
        <w:rPr>
          <w:rFonts w:ascii="Arial" w:eastAsia="Times New Roman" w:hAnsi="Arial" w:cs="Arial"/>
          <w:color w:val="5A5A5A"/>
          <w:sz w:val="24"/>
          <w:szCs w:val="24"/>
          <w:lang w:eastAsia="de-DE"/>
        </w:rPr>
      </w:pPr>
    </w:p>
    <w:p w14:paraId="42576406" w14:textId="77777777" w:rsidR="002A45AF" w:rsidRPr="002A45AF" w:rsidRDefault="002A45AF" w:rsidP="002A45AF">
      <w:pPr>
        <w:pStyle w:val="Listenabsatz"/>
        <w:numPr>
          <w:ilvl w:val="0"/>
          <w:numId w:val="1"/>
        </w:numPr>
        <w:shd w:val="clear" w:color="auto" w:fill="FFFFFF"/>
        <w:spacing w:after="150" w:line="240" w:lineRule="auto"/>
        <w:jc w:val="both"/>
        <w:rPr>
          <w:rFonts w:ascii="Arial" w:eastAsia="Times New Roman" w:hAnsi="Arial" w:cs="Arial"/>
          <w:sz w:val="24"/>
          <w:szCs w:val="24"/>
          <w:lang w:eastAsia="de-DE"/>
        </w:rPr>
      </w:pPr>
      <w:r w:rsidRPr="002A45AF">
        <w:rPr>
          <w:rFonts w:ascii="Arial" w:eastAsia="Times New Roman" w:hAnsi="Arial" w:cs="Arial"/>
          <w:sz w:val="24"/>
          <w:szCs w:val="24"/>
          <w:lang w:eastAsia="de-DE"/>
        </w:rPr>
        <w:t>Koordination und Weiterentwicklung der Finanzierungstätigkeiten über alle Konzerngesellschaften hinweg</w:t>
      </w:r>
    </w:p>
    <w:p w14:paraId="45CA54B2" w14:textId="77777777" w:rsidR="002A45AF" w:rsidRPr="002A45AF" w:rsidRDefault="002A45AF" w:rsidP="002A45AF">
      <w:pPr>
        <w:pStyle w:val="Listenabsatz"/>
        <w:numPr>
          <w:ilvl w:val="0"/>
          <w:numId w:val="1"/>
        </w:numPr>
        <w:shd w:val="clear" w:color="auto" w:fill="FFFFFF"/>
        <w:spacing w:after="150" w:line="240" w:lineRule="auto"/>
        <w:jc w:val="both"/>
        <w:rPr>
          <w:rFonts w:ascii="Arial" w:eastAsia="Times New Roman" w:hAnsi="Arial" w:cs="Arial"/>
          <w:sz w:val="24"/>
          <w:szCs w:val="24"/>
          <w:lang w:eastAsia="de-DE"/>
        </w:rPr>
      </w:pPr>
      <w:r w:rsidRPr="002A45AF">
        <w:rPr>
          <w:rFonts w:ascii="Arial" w:eastAsia="Times New Roman" w:hAnsi="Arial" w:cs="Arial"/>
          <w:sz w:val="24"/>
          <w:szCs w:val="24"/>
          <w:lang w:eastAsia="de-DE"/>
        </w:rPr>
        <w:t>konzernweite Liquiditätsplanung und –</w:t>
      </w:r>
      <w:proofErr w:type="spellStart"/>
      <w:r w:rsidRPr="002A45AF">
        <w:rPr>
          <w:rFonts w:ascii="Arial" w:eastAsia="Times New Roman" w:hAnsi="Arial" w:cs="Arial"/>
          <w:sz w:val="24"/>
          <w:szCs w:val="24"/>
          <w:lang w:eastAsia="de-DE"/>
        </w:rPr>
        <w:t>steuerung</w:t>
      </w:r>
      <w:proofErr w:type="spellEnd"/>
    </w:p>
    <w:p w14:paraId="4C31FB6E" w14:textId="77777777" w:rsidR="002A45AF" w:rsidRPr="002A45AF" w:rsidRDefault="002A45AF" w:rsidP="002A45AF">
      <w:pPr>
        <w:pStyle w:val="Listenabsatz"/>
        <w:numPr>
          <w:ilvl w:val="0"/>
          <w:numId w:val="1"/>
        </w:numPr>
        <w:shd w:val="clear" w:color="auto" w:fill="FFFFFF"/>
        <w:spacing w:after="150" w:line="240" w:lineRule="auto"/>
        <w:jc w:val="both"/>
        <w:rPr>
          <w:rFonts w:ascii="Arial" w:eastAsia="Times New Roman" w:hAnsi="Arial" w:cs="Arial"/>
          <w:sz w:val="24"/>
          <w:szCs w:val="24"/>
          <w:lang w:eastAsia="de-DE"/>
        </w:rPr>
      </w:pPr>
      <w:r w:rsidRPr="002A45AF">
        <w:rPr>
          <w:rFonts w:ascii="Arial" w:eastAsia="Times New Roman" w:hAnsi="Arial" w:cs="Arial"/>
          <w:sz w:val="24"/>
          <w:szCs w:val="24"/>
          <w:lang w:eastAsia="de-DE"/>
        </w:rPr>
        <w:t>Weiterentwicklung des Treasury Systems und der Treasury Richtlinie</w:t>
      </w:r>
    </w:p>
    <w:p w14:paraId="12A15734" w14:textId="77777777" w:rsidR="002A45AF" w:rsidRPr="002A45AF" w:rsidRDefault="002A45AF" w:rsidP="002A45AF">
      <w:pPr>
        <w:pStyle w:val="Listenabsatz"/>
        <w:numPr>
          <w:ilvl w:val="0"/>
          <w:numId w:val="1"/>
        </w:numPr>
        <w:shd w:val="clear" w:color="auto" w:fill="FFFFFF"/>
        <w:spacing w:after="150" w:line="240" w:lineRule="auto"/>
        <w:jc w:val="both"/>
        <w:rPr>
          <w:rFonts w:ascii="Arial" w:eastAsia="Times New Roman" w:hAnsi="Arial" w:cs="Arial"/>
          <w:sz w:val="24"/>
          <w:szCs w:val="24"/>
          <w:lang w:eastAsia="de-DE"/>
        </w:rPr>
      </w:pPr>
      <w:r w:rsidRPr="002A45AF">
        <w:rPr>
          <w:rFonts w:ascii="Arial" w:eastAsia="Times New Roman" w:hAnsi="Arial" w:cs="Arial"/>
          <w:sz w:val="24"/>
          <w:szCs w:val="24"/>
          <w:lang w:eastAsia="de-DE"/>
        </w:rPr>
        <w:t xml:space="preserve">Ausbau des Treasury Berichtswesens </w:t>
      </w:r>
    </w:p>
    <w:p w14:paraId="529E630C" w14:textId="77777777" w:rsidR="002A45AF" w:rsidRPr="002A45AF" w:rsidRDefault="002A45AF" w:rsidP="002A45AF">
      <w:pPr>
        <w:pStyle w:val="Listenabsatz"/>
        <w:numPr>
          <w:ilvl w:val="0"/>
          <w:numId w:val="1"/>
        </w:numPr>
        <w:shd w:val="clear" w:color="auto" w:fill="FFFFFF"/>
        <w:spacing w:after="150" w:line="240" w:lineRule="auto"/>
        <w:jc w:val="both"/>
        <w:rPr>
          <w:rFonts w:ascii="Arial" w:eastAsia="Times New Roman" w:hAnsi="Arial" w:cs="Arial"/>
          <w:sz w:val="24"/>
          <w:szCs w:val="24"/>
          <w:lang w:eastAsia="de-DE"/>
        </w:rPr>
      </w:pPr>
      <w:r w:rsidRPr="002A45AF">
        <w:rPr>
          <w:rFonts w:ascii="Arial" w:eastAsia="Times New Roman" w:hAnsi="Arial" w:cs="Arial"/>
          <w:sz w:val="24"/>
          <w:szCs w:val="24"/>
          <w:lang w:eastAsia="de-DE"/>
        </w:rPr>
        <w:t>Erstellung von kurz- und langfristigen Cashflow-Prognosen.</w:t>
      </w:r>
    </w:p>
    <w:p w14:paraId="214AB04F" w14:textId="77777777" w:rsidR="002A45AF" w:rsidRPr="002A45AF" w:rsidRDefault="002A45AF" w:rsidP="002A45AF">
      <w:pPr>
        <w:pStyle w:val="Listenabsatz"/>
        <w:numPr>
          <w:ilvl w:val="0"/>
          <w:numId w:val="1"/>
        </w:numPr>
        <w:shd w:val="clear" w:color="auto" w:fill="FFFFFF"/>
        <w:spacing w:after="150" w:line="240" w:lineRule="auto"/>
        <w:jc w:val="both"/>
        <w:rPr>
          <w:rFonts w:ascii="Arial" w:eastAsia="Times New Roman" w:hAnsi="Arial" w:cs="Arial"/>
          <w:sz w:val="24"/>
          <w:szCs w:val="24"/>
          <w:lang w:eastAsia="de-DE"/>
        </w:rPr>
      </w:pPr>
      <w:r w:rsidRPr="002A45AF">
        <w:rPr>
          <w:rFonts w:ascii="Arial" w:eastAsia="Times New Roman" w:hAnsi="Arial" w:cs="Arial"/>
          <w:sz w:val="24"/>
          <w:szCs w:val="24"/>
          <w:lang w:eastAsia="de-DE"/>
        </w:rPr>
        <w:t>Pflege der Beziehungen zu Bankpartnern und Verhandlung von Konditionen.</w:t>
      </w:r>
    </w:p>
    <w:p w14:paraId="495A7E39" w14:textId="77777777" w:rsidR="002A45AF" w:rsidRPr="002A45AF" w:rsidRDefault="002A45AF" w:rsidP="002A45AF">
      <w:pPr>
        <w:pStyle w:val="Listenabsatz"/>
        <w:numPr>
          <w:ilvl w:val="0"/>
          <w:numId w:val="1"/>
        </w:numPr>
        <w:shd w:val="clear" w:color="auto" w:fill="FFFFFF"/>
        <w:spacing w:after="150" w:line="240" w:lineRule="auto"/>
        <w:jc w:val="both"/>
        <w:rPr>
          <w:rFonts w:ascii="Arial" w:eastAsia="Times New Roman" w:hAnsi="Arial" w:cs="Arial"/>
          <w:sz w:val="24"/>
          <w:szCs w:val="24"/>
          <w:lang w:eastAsia="de-DE"/>
        </w:rPr>
      </w:pPr>
      <w:r w:rsidRPr="002A45AF">
        <w:rPr>
          <w:rFonts w:ascii="Arial" w:eastAsia="Times New Roman" w:hAnsi="Arial" w:cs="Arial"/>
          <w:sz w:val="24"/>
          <w:szCs w:val="24"/>
          <w:lang w:eastAsia="de-DE"/>
        </w:rPr>
        <w:t>Überwachung der Bankkontostrukturen, Zeichnungsberechtigungen und Transaktionskontrollen.</w:t>
      </w:r>
    </w:p>
    <w:p w14:paraId="2FA91B0A" w14:textId="77777777" w:rsidR="002A45AF" w:rsidRPr="002A45AF" w:rsidRDefault="002A45AF" w:rsidP="002A45AF">
      <w:pPr>
        <w:pStyle w:val="Listenabsatz"/>
        <w:numPr>
          <w:ilvl w:val="0"/>
          <w:numId w:val="1"/>
        </w:numPr>
        <w:shd w:val="clear" w:color="auto" w:fill="FFFFFF"/>
        <w:spacing w:after="150" w:line="240" w:lineRule="auto"/>
        <w:jc w:val="both"/>
        <w:rPr>
          <w:rFonts w:ascii="Arial" w:eastAsia="Times New Roman" w:hAnsi="Arial" w:cs="Arial"/>
          <w:sz w:val="24"/>
          <w:szCs w:val="24"/>
          <w:lang w:eastAsia="de-DE"/>
        </w:rPr>
      </w:pPr>
      <w:r w:rsidRPr="002A45AF">
        <w:rPr>
          <w:rFonts w:ascii="Arial" w:eastAsia="Times New Roman" w:hAnsi="Arial" w:cs="Arial"/>
          <w:sz w:val="24"/>
          <w:szCs w:val="24"/>
          <w:lang w:eastAsia="de-DE"/>
        </w:rPr>
        <w:t xml:space="preserve">Ermittlung und Minderung finanzieller Risiken, einschließlich Währungs-, Zins- und </w:t>
      </w:r>
      <w:proofErr w:type="spellStart"/>
      <w:r w:rsidRPr="002A45AF">
        <w:rPr>
          <w:rFonts w:ascii="Arial" w:eastAsia="Times New Roman" w:hAnsi="Arial" w:cs="Arial"/>
          <w:sz w:val="24"/>
          <w:szCs w:val="24"/>
          <w:lang w:eastAsia="de-DE"/>
        </w:rPr>
        <w:t>Kontrahentenrisiken</w:t>
      </w:r>
      <w:proofErr w:type="spellEnd"/>
      <w:r w:rsidRPr="002A45AF">
        <w:rPr>
          <w:rFonts w:ascii="Arial" w:eastAsia="Times New Roman" w:hAnsi="Arial" w:cs="Arial"/>
          <w:sz w:val="24"/>
          <w:szCs w:val="24"/>
          <w:lang w:eastAsia="de-DE"/>
        </w:rPr>
        <w:t>.</w:t>
      </w:r>
    </w:p>
    <w:p w14:paraId="057F094E" w14:textId="77777777" w:rsidR="002A45AF" w:rsidRPr="002A45AF" w:rsidRDefault="002A45AF" w:rsidP="002A45AF">
      <w:pPr>
        <w:pStyle w:val="Listenabsatz"/>
        <w:numPr>
          <w:ilvl w:val="0"/>
          <w:numId w:val="1"/>
        </w:numPr>
        <w:shd w:val="clear" w:color="auto" w:fill="FFFFFF"/>
        <w:spacing w:after="150" w:line="240" w:lineRule="auto"/>
        <w:jc w:val="both"/>
        <w:rPr>
          <w:rFonts w:ascii="Arial" w:eastAsia="Times New Roman" w:hAnsi="Arial" w:cs="Arial"/>
          <w:sz w:val="24"/>
          <w:szCs w:val="24"/>
          <w:lang w:eastAsia="de-DE"/>
        </w:rPr>
      </w:pPr>
      <w:r w:rsidRPr="002A45AF">
        <w:rPr>
          <w:rFonts w:ascii="Arial" w:eastAsia="Times New Roman" w:hAnsi="Arial" w:cs="Arial"/>
          <w:sz w:val="24"/>
          <w:szCs w:val="24"/>
          <w:lang w:eastAsia="de-DE"/>
        </w:rPr>
        <w:t>Unterstützung von Risikomanagementstrategien und der damit verbundenen Umsetzung von Finanzinstrumenten.</w:t>
      </w:r>
    </w:p>
    <w:p w14:paraId="7594B16D" w14:textId="77777777" w:rsidR="002A45AF" w:rsidRPr="002A45AF" w:rsidRDefault="002A45AF" w:rsidP="002A45AF">
      <w:pPr>
        <w:pStyle w:val="Listenabsatz"/>
        <w:numPr>
          <w:ilvl w:val="0"/>
          <w:numId w:val="1"/>
        </w:numPr>
        <w:shd w:val="clear" w:color="auto" w:fill="FFFFFF"/>
        <w:spacing w:after="150" w:line="240" w:lineRule="auto"/>
        <w:jc w:val="both"/>
        <w:rPr>
          <w:rFonts w:ascii="Arial" w:eastAsia="Times New Roman" w:hAnsi="Arial" w:cs="Arial"/>
          <w:sz w:val="24"/>
          <w:szCs w:val="24"/>
          <w:lang w:eastAsia="de-DE"/>
        </w:rPr>
      </w:pPr>
      <w:r w:rsidRPr="002A45AF">
        <w:rPr>
          <w:rFonts w:ascii="Arial" w:eastAsia="Times New Roman" w:hAnsi="Arial" w:cs="Arial"/>
          <w:sz w:val="24"/>
          <w:szCs w:val="24"/>
          <w:lang w:eastAsia="de-DE"/>
        </w:rPr>
        <w:t>Unterstützung bei der Verwaltung von Unternehmensschulden, Kreditlinien und Investitionen.</w:t>
      </w:r>
    </w:p>
    <w:p w14:paraId="6E848B91" w14:textId="6467965C" w:rsidR="002A45AF" w:rsidRPr="002A45AF" w:rsidRDefault="002A45AF" w:rsidP="002A45AF">
      <w:pPr>
        <w:pStyle w:val="Listenabsatz"/>
        <w:numPr>
          <w:ilvl w:val="0"/>
          <w:numId w:val="1"/>
        </w:numPr>
        <w:shd w:val="clear" w:color="auto" w:fill="FFFFFF"/>
        <w:spacing w:after="150" w:line="240" w:lineRule="auto"/>
        <w:jc w:val="both"/>
        <w:rPr>
          <w:rFonts w:ascii="Arial" w:eastAsia="Times New Roman" w:hAnsi="Arial" w:cs="Arial"/>
          <w:sz w:val="24"/>
          <w:szCs w:val="24"/>
          <w:lang w:eastAsia="de-DE"/>
        </w:rPr>
      </w:pPr>
      <w:r w:rsidRPr="002A45AF">
        <w:rPr>
          <w:rFonts w:ascii="Arial" w:eastAsia="Times New Roman" w:hAnsi="Arial" w:cs="Arial"/>
          <w:sz w:val="24"/>
          <w:szCs w:val="24"/>
          <w:lang w:eastAsia="de-DE"/>
        </w:rPr>
        <w:t>Sicherstellung der Einhaltung interner und externer Berichtsanforderungen, einschließlich der Erstellung von Treasury-Berichten für die Geschäftsleitung und Wirtschaftsprüfer.</w:t>
      </w:r>
    </w:p>
    <w:p w14:paraId="6D47D13F" w14:textId="5C4B9EFC" w:rsidR="002A45AF" w:rsidRPr="002A45AF" w:rsidRDefault="002A45AF" w:rsidP="002A45AF">
      <w:pPr>
        <w:shd w:val="clear" w:color="auto" w:fill="FFFFFF"/>
        <w:spacing w:after="150" w:line="240" w:lineRule="auto"/>
        <w:jc w:val="both"/>
        <w:rPr>
          <w:rFonts w:ascii="Arial" w:eastAsia="Times New Roman" w:hAnsi="Arial" w:cs="Arial"/>
          <w:color w:val="000000" w:themeColor="text1"/>
          <w:sz w:val="24"/>
          <w:szCs w:val="24"/>
          <w:lang w:eastAsia="de-DE"/>
        </w:rPr>
      </w:pPr>
    </w:p>
    <w:p w14:paraId="773356BE" w14:textId="71EBB1B8" w:rsidR="002A45AF" w:rsidRDefault="002A45AF" w:rsidP="002A45AF">
      <w:pPr>
        <w:shd w:val="clear" w:color="auto" w:fill="FFFFFF"/>
        <w:spacing w:after="150" w:line="240" w:lineRule="auto"/>
        <w:jc w:val="both"/>
        <w:rPr>
          <w:rFonts w:ascii="Arial" w:eastAsia="Times New Roman" w:hAnsi="Arial" w:cs="Arial"/>
          <w:color w:val="000000" w:themeColor="text1"/>
          <w:sz w:val="24"/>
          <w:szCs w:val="24"/>
          <w:lang w:eastAsia="de-DE"/>
        </w:rPr>
      </w:pPr>
      <w:r>
        <w:rPr>
          <w:rFonts w:ascii="Arial" w:eastAsia="Times New Roman" w:hAnsi="Arial" w:cs="Arial"/>
          <w:color w:val="000000" w:themeColor="text1"/>
          <w:sz w:val="24"/>
          <w:szCs w:val="24"/>
          <w:lang w:eastAsia="de-DE"/>
        </w:rPr>
        <w:t>Profil:</w:t>
      </w:r>
    </w:p>
    <w:p w14:paraId="277DCEEF" w14:textId="77777777" w:rsidR="002A45AF" w:rsidRPr="002A45AF" w:rsidRDefault="002A45AF" w:rsidP="002A45AF">
      <w:pPr>
        <w:pStyle w:val="Listenabsatz"/>
        <w:numPr>
          <w:ilvl w:val="0"/>
          <w:numId w:val="4"/>
        </w:numPr>
        <w:shd w:val="clear" w:color="auto" w:fill="FFFFFF"/>
        <w:spacing w:after="150" w:line="240" w:lineRule="auto"/>
        <w:jc w:val="both"/>
        <w:rPr>
          <w:rFonts w:ascii="Arial" w:eastAsia="Times New Roman" w:hAnsi="Arial" w:cs="Arial"/>
          <w:color w:val="000000" w:themeColor="text1"/>
          <w:sz w:val="24"/>
          <w:szCs w:val="24"/>
          <w:lang w:eastAsia="de-DE"/>
        </w:rPr>
      </w:pPr>
      <w:r w:rsidRPr="002A45AF">
        <w:rPr>
          <w:rFonts w:ascii="Arial" w:eastAsia="Times New Roman" w:hAnsi="Arial" w:cs="Arial"/>
          <w:color w:val="000000" w:themeColor="text1"/>
          <w:sz w:val="24"/>
          <w:szCs w:val="24"/>
          <w:lang w:eastAsia="de-DE"/>
        </w:rPr>
        <w:t>Bachelor-/Master-Abschluss in Betriebswirtschaft, Finanzwirtschaft, Volkswirtschaft oder einem verwandten Fachgebiet</w:t>
      </w:r>
    </w:p>
    <w:p w14:paraId="2791571E" w14:textId="1E38774A" w:rsidR="002A45AF" w:rsidRPr="002A45AF" w:rsidRDefault="002A45AF" w:rsidP="002A45AF">
      <w:pPr>
        <w:pStyle w:val="Listenabsatz"/>
        <w:numPr>
          <w:ilvl w:val="0"/>
          <w:numId w:val="4"/>
        </w:numPr>
        <w:shd w:val="clear" w:color="auto" w:fill="FFFFFF"/>
        <w:spacing w:after="150" w:line="240" w:lineRule="auto"/>
        <w:jc w:val="both"/>
        <w:rPr>
          <w:rFonts w:ascii="Arial" w:eastAsia="Times New Roman" w:hAnsi="Arial" w:cs="Arial"/>
          <w:color w:val="000000" w:themeColor="text1"/>
          <w:sz w:val="24"/>
          <w:szCs w:val="24"/>
          <w:lang w:eastAsia="de-DE"/>
        </w:rPr>
      </w:pPr>
      <w:r w:rsidRPr="002A45AF">
        <w:rPr>
          <w:rFonts w:ascii="Arial" w:eastAsia="Times New Roman" w:hAnsi="Arial" w:cs="Arial"/>
          <w:color w:val="000000" w:themeColor="text1"/>
          <w:sz w:val="24"/>
          <w:szCs w:val="24"/>
          <w:lang w:eastAsia="de-DE"/>
        </w:rPr>
        <w:t>Erfahrung im Bereich Corporate Treasury in der Industrie oder im Finanzdienstleistungssektor</w:t>
      </w:r>
    </w:p>
    <w:p w14:paraId="0DC7EE32" w14:textId="77777777" w:rsidR="002A45AF" w:rsidRPr="002A45AF" w:rsidRDefault="002A45AF" w:rsidP="002A45AF">
      <w:pPr>
        <w:pStyle w:val="Listenabsatz"/>
        <w:numPr>
          <w:ilvl w:val="0"/>
          <w:numId w:val="4"/>
        </w:numPr>
        <w:shd w:val="clear" w:color="auto" w:fill="FFFFFF"/>
        <w:spacing w:after="150" w:line="240" w:lineRule="auto"/>
        <w:jc w:val="both"/>
        <w:rPr>
          <w:rFonts w:ascii="Arial" w:eastAsia="Times New Roman" w:hAnsi="Arial" w:cs="Arial"/>
          <w:color w:val="000000" w:themeColor="text1"/>
          <w:sz w:val="24"/>
          <w:szCs w:val="24"/>
          <w:lang w:eastAsia="de-DE"/>
        </w:rPr>
      </w:pPr>
      <w:r w:rsidRPr="002A45AF">
        <w:rPr>
          <w:rFonts w:ascii="Arial" w:eastAsia="Times New Roman" w:hAnsi="Arial" w:cs="Arial"/>
          <w:color w:val="000000" w:themeColor="text1"/>
          <w:sz w:val="24"/>
          <w:szCs w:val="24"/>
          <w:lang w:eastAsia="de-DE"/>
        </w:rPr>
        <w:t>Fundierte Kenntnisse in den Bereichen Cash Management, Devisen, Bankwesen und Finanzinstrumente</w:t>
      </w:r>
    </w:p>
    <w:p w14:paraId="4A09B4E7" w14:textId="53F6061E" w:rsidR="002A45AF" w:rsidRPr="002A45AF" w:rsidRDefault="002A45AF" w:rsidP="002A45AF">
      <w:pPr>
        <w:pStyle w:val="Listenabsatz"/>
        <w:numPr>
          <w:ilvl w:val="0"/>
          <w:numId w:val="4"/>
        </w:numPr>
        <w:shd w:val="clear" w:color="auto" w:fill="FFFFFF"/>
        <w:spacing w:after="150" w:line="240" w:lineRule="auto"/>
        <w:jc w:val="both"/>
        <w:rPr>
          <w:rFonts w:ascii="Arial" w:eastAsia="Times New Roman" w:hAnsi="Arial" w:cs="Arial"/>
          <w:color w:val="000000" w:themeColor="text1"/>
          <w:sz w:val="24"/>
          <w:szCs w:val="24"/>
          <w:lang w:eastAsia="de-DE"/>
        </w:rPr>
      </w:pPr>
      <w:r w:rsidRPr="002A45AF">
        <w:rPr>
          <w:rFonts w:ascii="Arial" w:eastAsia="Times New Roman" w:hAnsi="Arial" w:cs="Arial"/>
          <w:color w:val="000000" w:themeColor="text1"/>
          <w:sz w:val="24"/>
          <w:szCs w:val="24"/>
          <w:lang w:eastAsia="de-DE"/>
        </w:rPr>
        <w:t>Vorzugsweise Erfahrung mit Treasury-relevanten Systemen (z. B. Coupa, FIS Integrity, TIS, 360T, Bloomberg)</w:t>
      </w:r>
    </w:p>
    <w:p w14:paraId="24B1EEDA" w14:textId="716DD95B" w:rsidR="002A45AF" w:rsidRPr="002A45AF" w:rsidRDefault="002A45AF" w:rsidP="002A45AF">
      <w:pPr>
        <w:pStyle w:val="Listenabsatz"/>
        <w:numPr>
          <w:ilvl w:val="0"/>
          <w:numId w:val="4"/>
        </w:numPr>
        <w:shd w:val="clear" w:color="auto" w:fill="FFFFFF"/>
        <w:spacing w:after="150" w:line="240" w:lineRule="auto"/>
        <w:jc w:val="both"/>
        <w:rPr>
          <w:rFonts w:ascii="Arial" w:eastAsia="Times New Roman" w:hAnsi="Arial" w:cs="Arial"/>
          <w:color w:val="000000" w:themeColor="text1"/>
          <w:sz w:val="24"/>
          <w:szCs w:val="24"/>
          <w:lang w:eastAsia="de-DE"/>
        </w:rPr>
      </w:pPr>
      <w:r w:rsidRPr="002A45AF">
        <w:rPr>
          <w:rFonts w:ascii="Arial" w:eastAsia="Times New Roman" w:hAnsi="Arial" w:cs="Arial"/>
          <w:color w:val="000000" w:themeColor="text1"/>
          <w:sz w:val="24"/>
          <w:szCs w:val="24"/>
          <w:lang w:eastAsia="de-DE"/>
        </w:rPr>
        <w:t>Ausgezeichnete analytische, kommunikative und verhandlungstechnische Fähigkeiten sowie Projektmanagementkompetenzen mit der Fähigkeit, starke funktionsübergreifende Beziehungen aufzubauen</w:t>
      </w:r>
    </w:p>
    <w:p w14:paraId="47D2DEB8" w14:textId="3D1E3200" w:rsidR="002A45AF" w:rsidRPr="002A45AF" w:rsidRDefault="002A45AF" w:rsidP="002A45AF">
      <w:pPr>
        <w:pStyle w:val="Listenabsatz"/>
        <w:numPr>
          <w:ilvl w:val="0"/>
          <w:numId w:val="4"/>
        </w:numPr>
        <w:rPr>
          <w:rFonts w:ascii="Arial" w:hAnsi="Arial" w:cs="Arial"/>
          <w:sz w:val="24"/>
          <w:szCs w:val="24"/>
        </w:rPr>
      </w:pPr>
      <w:proofErr w:type="spellStart"/>
      <w:r w:rsidRPr="002A45AF">
        <w:rPr>
          <w:rFonts w:ascii="Arial" w:hAnsi="Arial" w:cs="Arial"/>
          <w:sz w:val="24"/>
          <w:szCs w:val="24"/>
        </w:rPr>
        <w:t>Fliessend</w:t>
      </w:r>
      <w:proofErr w:type="spellEnd"/>
      <w:r w:rsidRPr="002A45AF">
        <w:rPr>
          <w:rFonts w:ascii="Arial" w:hAnsi="Arial" w:cs="Arial"/>
          <w:sz w:val="24"/>
          <w:szCs w:val="24"/>
        </w:rPr>
        <w:t xml:space="preserve"> Deutsch und Englisch</w:t>
      </w:r>
    </w:p>
    <w:sectPr w:rsidR="002A45AF" w:rsidRPr="002A45AF" w:rsidSect="002375EA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5D0ED7"/>
    <w:multiLevelType w:val="hybridMultilevel"/>
    <w:tmpl w:val="B022AB0C"/>
    <w:lvl w:ilvl="0" w:tplc="3252EAAE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  <w:color w:val="000000" w:themeColor="text1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1896674"/>
    <w:multiLevelType w:val="hybridMultilevel"/>
    <w:tmpl w:val="78EC76F6"/>
    <w:lvl w:ilvl="0" w:tplc="3252EAAE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  <w:color w:val="000000" w:themeColor="text1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7C274B3"/>
    <w:multiLevelType w:val="hybridMultilevel"/>
    <w:tmpl w:val="72FE0D4A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3980EEB"/>
    <w:multiLevelType w:val="hybridMultilevel"/>
    <w:tmpl w:val="1B2A59AA"/>
    <w:lvl w:ilvl="0" w:tplc="3252EAAE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  <w:color w:val="000000" w:themeColor="text1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61577902">
    <w:abstractNumId w:val="2"/>
  </w:num>
  <w:num w:numId="2" w16cid:durableId="1742942201">
    <w:abstractNumId w:val="0"/>
  </w:num>
  <w:num w:numId="3" w16cid:durableId="398358341">
    <w:abstractNumId w:val="3"/>
  </w:num>
  <w:num w:numId="4" w16cid:durableId="178942479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A45AF"/>
    <w:rsid w:val="002375EA"/>
    <w:rsid w:val="002A45AF"/>
    <w:rsid w:val="007C7F20"/>
    <w:rsid w:val="007E64E7"/>
    <w:rsid w:val="0083104E"/>
    <w:rsid w:val="00E1724B"/>
    <w:rsid w:val="00F22B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1B9933FF"/>
  <w15:chartTrackingRefBased/>
  <w15:docId w15:val="{5A3BD8F0-7E2E-42B7-A3A2-78CD31E89D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de-D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paragraph" w:styleId="berschrift1">
    <w:name w:val="heading 1"/>
    <w:basedOn w:val="Standard"/>
    <w:next w:val="Standard"/>
    <w:link w:val="berschrift1Zchn"/>
    <w:uiPriority w:val="9"/>
    <w:qFormat/>
    <w:rsid w:val="002A45A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berschrift2">
    <w:name w:val="heading 2"/>
    <w:basedOn w:val="Standard"/>
    <w:next w:val="Standard"/>
    <w:link w:val="berschrift2Zchn"/>
    <w:uiPriority w:val="9"/>
    <w:semiHidden/>
    <w:unhideWhenUsed/>
    <w:qFormat/>
    <w:rsid w:val="002A45A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berschrift3">
    <w:name w:val="heading 3"/>
    <w:basedOn w:val="Standard"/>
    <w:next w:val="Standard"/>
    <w:link w:val="berschrift3Zchn"/>
    <w:uiPriority w:val="9"/>
    <w:semiHidden/>
    <w:unhideWhenUsed/>
    <w:qFormat/>
    <w:rsid w:val="002A45A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2A45A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2A45A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2A45A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2A45A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2A45A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2A45A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sid w:val="002A45A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berschrift2Zchn">
    <w:name w:val="Überschrift 2 Zchn"/>
    <w:basedOn w:val="Absatz-Standardschriftart"/>
    <w:link w:val="berschrift2"/>
    <w:uiPriority w:val="9"/>
    <w:semiHidden/>
    <w:rsid w:val="002A45A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berschrift3Zchn">
    <w:name w:val="Überschrift 3 Zchn"/>
    <w:basedOn w:val="Absatz-Standardschriftart"/>
    <w:link w:val="berschrift3"/>
    <w:uiPriority w:val="9"/>
    <w:semiHidden/>
    <w:rsid w:val="002A45A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2A45AF"/>
    <w:rPr>
      <w:rFonts w:eastAsiaTheme="majorEastAsia" w:cstheme="majorBidi"/>
      <w:i/>
      <w:iCs/>
      <w:color w:val="0F4761" w:themeColor="accent1" w:themeShade="BF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2A45AF"/>
    <w:rPr>
      <w:rFonts w:eastAsiaTheme="majorEastAsia" w:cstheme="majorBidi"/>
      <w:color w:val="0F4761" w:themeColor="accent1" w:themeShade="BF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2A45AF"/>
    <w:rPr>
      <w:rFonts w:eastAsiaTheme="majorEastAsia" w:cstheme="majorBidi"/>
      <w:i/>
      <w:iCs/>
      <w:color w:val="595959" w:themeColor="text1" w:themeTint="A6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2A45AF"/>
    <w:rPr>
      <w:rFonts w:eastAsiaTheme="majorEastAsia" w:cstheme="majorBidi"/>
      <w:color w:val="595959" w:themeColor="text1" w:themeTint="A6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2A45AF"/>
    <w:rPr>
      <w:rFonts w:eastAsiaTheme="majorEastAsia" w:cstheme="majorBidi"/>
      <w:i/>
      <w:iCs/>
      <w:color w:val="272727" w:themeColor="text1" w:themeTint="D8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2A45AF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rd"/>
    <w:next w:val="Standard"/>
    <w:link w:val="TitelZchn"/>
    <w:uiPriority w:val="10"/>
    <w:qFormat/>
    <w:rsid w:val="002A45A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Zchn">
    <w:name w:val="Titel Zchn"/>
    <w:basedOn w:val="Absatz-Standardschriftart"/>
    <w:link w:val="Titel"/>
    <w:uiPriority w:val="10"/>
    <w:rsid w:val="002A45A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2A45A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2A45A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Zitat">
    <w:name w:val="Quote"/>
    <w:basedOn w:val="Standard"/>
    <w:next w:val="Standard"/>
    <w:link w:val="ZitatZchn"/>
    <w:uiPriority w:val="29"/>
    <w:qFormat/>
    <w:rsid w:val="002A45A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ZitatZchn">
    <w:name w:val="Zitat Zchn"/>
    <w:basedOn w:val="Absatz-Standardschriftart"/>
    <w:link w:val="Zitat"/>
    <w:uiPriority w:val="29"/>
    <w:rsid w:val="002A45AF"/>
    <w:rPr>
      <w:i/>
      <w:iCs/>
      <w:color w:val="404040" w:themeColor="text1" w:themeTint="BF"/>
    </w:rPr>
  </w:style>
  <w:style w:type="paragraph" w:styleId="Listenabsatz">
    <w:name w:val="List Paragraph"/>
    <w:basedOn w:val="Standard"/>
    <w:uiPriority w:val="34"/>
    <w:qFormat/>
    <w:rsid w:val="002A45AF"/>
    <w:pPr>
      <w:ind w:left="720"/>
      <w:contextualSpacing/>
    </w:pPr>
  </w:style>
  <w:style w:type="character" w:styleId="IntensiveHervorhebung">
    <w:name w:val="Intense Emphasis"/>
    <w:basedOn w:val="Absatz-Standardschriftart"/>
    <w:uiPriority w:val="21"/>
    <w:qFormat/>
    <w:rsid w:val="002A45AF"/>
    <w:rPr>
      <w:i/>
      <w:iCs/>
      <w:color w:val="0F4761" w:themeColor="accent1" w:themeShade="BF"/>
    </w:rPr>
  </w:style>
  <w:style w:type="paragraph" w:styleId="IntensivesZitat">
    <w:name w:val="Intense Quote"/>
    <w:basedOn w:val="Standard"/>
    <w:next w:val="Standard"/>
    <w:link w:val="IntensivesZitatZchn"/>
    <w:uiPriority w:val="30"/>
    <w:qFormat/>
    <w:rsid w:val="002A45A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rsid w:val="002A45AF"/>
    <w:rPr>
      <w:i/>
      <w:iCs/>
      <w:color w:val="0F4761" w:themeColor="accent1" w:themeShade="BF"/>
    </w:rPr>
  </w:style>
  <w:style w:type="character" w:styleId="IntensiverVerweis">
    <w:name w:val="Intense Reference"/>
    <w:basedOn w:val="Absatz-Standardschriftart"/>
    <w:uiPriority w:val="32"/>
    <w:qFormat/>
    <w:rsid w:val="002A45AF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240</Words>
  <Characters>1517</Characters>
  <Application>Microsoft Office Word</Application>
  <DocSecurity>0</DocSecurity>
  <Lines>12</Lines>
  <Paragraphs>3</Paragraphs>
  <ScaleCrop>false</ScaleCrop>
  <Company/>
  <LinksUpToDate>false</LinksUpToDate>
  <CharactersWithSpaces>1754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Beatrix Kollmann</dc:creator>
  <cp:keywords/>
  <dc:description/>
  <cp:lastModifiedBy>Beatrix Kollmann</cp:lastModifiedBy>
  <cp:revision>3</cp:revision>
  <dcterms:created xsi:type="dcterms:W3CDTF">2026-05-18T09:34:00Z</dcterms:created>
  <dcterms:modified xsi:type="dcterms:W3CDTF">2026-06-19T08:30:00Z</dcterms:modified>
</cp:coreProperties>
</file>